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A0" w:rsidRPr="00662DCE" w:rsidRDefault="00C35645" w:rsidP="00E302B6">
      <w:pPr>
        <w:spacing w:after="160" w:line="240" w:lineRule="auto"/>
        <w:jc w:val="center"/>
        <w:rPr>
          <w:rFonts w:ascii="Calibri Light" w:hAnsi="Calibri Light"/>
          <w:i/>
          <w:sz w:val="28"/>
          <w:szCs w:val="28"/>
          <w:highlight w:val="yellow"/>
        </w:rPr>
      </w:pPr>
      <w:r w:rsidRPr="00662DCE">
        <w:rPr>
          <w:rFonts w:ascii="Calibri Light" w:hAnsi="Calibri Light"/>
          <w:i/>
          <w:sz w:val="28"/>
          <w:szCs w:val="28"/>
        </w:rPr>
        <w:t>[INSERT AGENCY NAME AND LOGO]</w:t>
      </w:r>
    </w:p>
    <w:p w:rsidR="00BC405B" w:rsidRDefault="00BC405B" w:rsidP="00BC405B">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rsidR="00BC405B" w:rsidRPr="00776634" w:rsidRDefault="00BC405B" w:rsidP="00BC405B">
      <w:pPr>
        <w:spacing w:after="0" w:line="240" w:lineRule="auto"/>
        <w:jc w:val="center"/>
        <w:rPr>
          <w:rFonts w:ascii="Calibri Light" w:hAnsi="Calibri Light" w:cs="Calibri Light"/>
        </w:rPr>
      </w:pPr>
    </w:p>
    <w:tbl>
      <w:tblPr>
        <w:tblW w:w="9576" w:type="dxa"/>
        <w:tblLayout w:type="fixed"/>
        <w:tblLook w:val="0000" w:firstRow="0" w:lastRow="0" w:firstColumn="0" w:lastColumn="0" w:noHBand="0" w:noVBand="0"/>
        <w:tblCaption w:val="Title X Requirement 9.4 Availability of Social Services"/>
        <w:tblDescription w:val="An example of the policy and procedure for requirement 9.4 with the policy title of availability and use of referrals along with effective, revision, and review date fields, references, and approval signature and date fields"/>
      </w:tblPr>
      <w:tblGrid>
        <w:gridCol w:w="2245"/>
        <w:gridCol w:w="7331"/>
      </w:tblGrid>
      <w:tr w:rsidR="00BC405B" w:rsidRPr="00776634" w:rsidTr="00C06AB0">
        <w:trPr>
          <w:trHeight w:val="1619"/>
          <w:tblHead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C405B" w:rsidRPr="00C06AB0" w:rsidRDefault="00BC405B" w:rsidP="00C06AB0">
            <w:pPr>
              <w:pStyle w:val="Heading1"/>
              <w:jc w:val="center"/>
              <w:rPr>
                <w:rFonts w:ascii="Calibri Light" w:hAnsi="Calibri Light" w:cs="Calibri Light"/>
                <w:sz w:val="28"/>
                <w:szCs w:val="28"/>
              </w:rPr>
            </w:pPr>
            <w:bookmarkStart w:id="0" w:name="_Toc28940564"/>
            <w:r w:rsidRPr="00C06AB0">
              <w:rPr>
                <w:rFonts w:ascii="Calibri Light" w:hAnsi="Calibri Light" w:cs="Calibri Light"/>
                <w:sz w:val="28"/>
                <w:szCs w:val="28"/>
              </w:rPr>
              <w:t>2.4 Availability of Social Services</w:t>
            </w:r>
            <w:bookmarkEnd w:id="0"/>
          </w:p>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rP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BC405B"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Policy Title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b/>
              </w:rPr>
            </w:pPr>
            <w:r w:rsidRPr="00776634">
              <w:rPr>
                <w:rFonts w:ascii="Calibri Light" w:hAnsi="Calibri Light" w:cs="Calibri Light"/>
                <w:b/>
                <w:color w:val="000000"/>
              </w:rPr>
              <w:t>Availability of Social Services</w:t>
            </w:r>
          </w:p>
        </w:tc>
      </w:tr>
      <w:tr w:rsidR="00BC405B"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Effective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p>
        </w:tc>
      </w:tr>
      <w:tr w:rsidR="00BC405B"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Revision Dates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p>
        </w:tc>
      </w:tr>
      <w:tr w:rsidR="00BC405B"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Review Due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p>
        </w:tc>
      </w:tr>
      <w:tr w:rsidR="00BC405B" w:rsidRPr="00776634" w:rsidTr="0067673C">
        <w:trPr>
          <w:trHeight w:val="2294"/>
        </w:trPr>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References</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color w:val="000000"/>
              </w:rPr>
            </w:pPr>
            <w:r w:rsidRPr="00776634">
              <w:rPr>
                <w:rFonts w:ascii="Calibri Light" w:hAnsi="Calibri Light" w:cs="Calibri Light"/>
                <w:color w:val="000000"/>
              </w:rPr>
              <w:t xml:space="preserve">Providing Quality Family Planning Services: Recommendations of CDC and the U.S. Office of Population Affairs </w:t>
            </w:r>
            <w:r w:rsidRPr="00776634">
              <w:rPr>
                <w:rFonts w:ascii="Calibri Light" w:hAnsi="Calibri Light" w:cs="Calibri Light"/>
              </w:rPr>
              <w:t xml:space="preserve"> (pages 4–20)</w:t>
            </w:r>
          </w:p>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color w:val="000000"/>
              </w:rPr>
              <w:t>(</w:t>
            </w:r>
            <w:hyperlink r:id="rId7">
              <w:r w:rsidRPr="00776634">
                <w:rPr>
                  <w:rFonts w:ascii="Calibri Light" w:hAnsi="Calibri Light" w:cs="Calibri Light"/>
                  <w:color w:val="0000FF"/>
                  <w:u w:val="single"/>
                </w:rPr>
                <w:t>https://www.cdc.gov/mmwr/pdf/rr/rr6304.pdf</w:t>
              </w:r>
            </w:hyperlink>
            <w:r w:rsidRPr="00776634">
              <w:rPr>
                <w:rFonts w:ascii="Calibri Light" w:hAnsi="Calibri Light" w:cs="Calibri Light"/>
              </w:rPr>
              <w:t xml:space="preserve">) </w:t>
            </w:r>
          </w:p>
          <w:p w:rsidR="00BC405B" w:rsidRPr="00776634" w:rsidRDefault="00BC405B" w:rsidP="0067673C">
            <w:pPr>
              <w:spacing w:after="0" w:line="240" w:lineRule="auto"/>
              <w:rPr>
                <w:rFonts w:ascii="Calibri Light" w:hAnsi="Calibri Light" w:cs="Calibri Light"/>
              </w:rPr>
            </w:pPr>
          </w:p>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rPr>
              <w:t>Code of Federal Regulations 42 CFR 59.5 (b)(2)</w:t>
            </w:r>
          </w:p>
          <w:p w:rsidR="00BC405B" w:rsidRPr="00776634" w:rsidRDefault="009E6280" w:rsidP="0067673C">
            <w:pPr>
              <w:spacing w:after="0" w:line="240" w:lineRule="auto"/>
              <w:rPr>
                <w:rFonts w:ascii="Calibri Light" w:hAnsi="Calibri Light" w:cs="Calibri Light"/>
              </w:rPr>
            </w:pPr>
            <w:hyperlink r:id="rId8" w:anchor="se42.1.59_15" w:history="1">
              <w:r w:rsidR="00BC405B" w:rsidRPr="00776634">
                <w:rPr>
                  <w:rStyle w:val="Hyperlink"/>
                  <w:rFonts w:ascii="Calibri Light" w:hAnsi="Calibri Light" w:cs="Calibri Light"/>
                </w:rPr>
                <w:t>https://www.ecfr.gov/cgi-bin/text-idx?SID=c1cbd72e13f7230f1e8328fa52b57899&amp;mc=true&amp;node=sp42.1.59.a&amp;rgn=div6#se42.1.59_15</w:t>
              </w:r>
            </w:hyperlink>
          </w:p>
        </w:tc>
      </w:tr>
      <w:tr w:rsidR="00BC405B"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Approved by Signature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p>
        </w:tc>
      </w:tr>
      <w:tr w:rsidR="00BC405B" w:rsidRPr="00776634" w:rsidTr="0067673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r w:rsidRPr="00776634">
              <w:rPr>
                <w:rFonts w:ascii="Calibri Light" w:hAnsi="Calibri Light" w:cs="Calibri Light"/>
                <w:b/>
              </w:rPr>
              <w:t>Approved Date</w:t>
            </w:r>
          </w:p>
        </w:tc>
        <w:tc>
          <w:tcPr>
            <w:tcW w:w="7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05B" w:rsidRPr="00776634" w:rsidRDefault="00BC405B" w:rsidP="0067673C">
            <w:pPr>
              <w:spacing w:after="0" w:line="240" w:lineRule="auto"/>
              <w:rPr>
                <w:rFonts w:ascii="Calibri Light" w:hAnsi="Calibri Light" w:cs="Calibri Light"/>
              </w:rPr>
            </w:pPr>
          </w:p>
        </w:tc>
      </w:tr>
    </w:tbl>
    <w:p w:rsidR="00BC405B" w:rsidRPr="00776634" w:rsidRDefault="00BC405B" w:rsidP="00BC405B">
      <w:pPr>
        <w:spacing w:after="0" w:line="240" w:lineRule="auto"/>
        <w:rPr>
          <w:rFonts w:ascii="Calibri Light" w:hAnsi="Calibri Light" w:cs="Calibri Light"/>
        </w:rPr>
      </w:pPr>
    </w:p>
    <w:p w:rsidR="00BC405B" w:rsidRPr="00776634" w:rsidRDefault="00BC405B" w:rsidP="00BC405B">
      <w:pPr>
        <w:spacing w:after="240" w:line="240" w:lineRule="auto"/>
        <w:rPr>
          <w:rFonts w:ascii="Calibri Light" w:hAnsi="Calibri Light" w:cs="Calibri Light"/>
        </w:rPr>
      </w:pPr>
      <w:r w:rsidRPr="00776634">
        <w:rPr>
          <w:rFonts w:ascii="Calibri Light" w:hAnsi="Calibri Light" w:cs="Calibri Light"/>
          <w:b/>
          <w:color w:val="000000"/>
        </w:rPr>
        <w:t xml:space="preserve">Purpose: </w:t>
      </w:r>
      <w:r w:rsidRPr="00776634">
        <w:rPr>
          <w:rFonts w:ascii="Calibri Light" w:hAnsi="Calibri Light" w:cs="Calibri Light"/>
        </w:rPr>
        <w:t>The purpose of this policy is to describe</w:t>
      </w:r>
      <w:r w:rsidRPr="00776634">
        <w:rPr>
          <w:rFonts w:ascii="Calibri Light" w:hAnsi="Calibri Light" w:cs="Calibri Light"/>
          <w:color w:val="333333"/>
        </w:rPr>
        <w:t xml:space="preserv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the project provide for social services related to family planning including counseling, referral to and from other social and medical services agencies, and any ancillary services that may be necessary to facilitate clinic attendance, as needed. </w:t>
      </w:r>
    </w:p>
    <w:p w:rsidR="00BC405B" w:rsidRPr="00776634" w:rsidRDefault="00BC405B" w:rsidP="00BC405B">
      <w:pPr>
        <w:spacing w:after="0" w:line="240" w:lineRule="auto"/>
        <w:rPr>
          <w:rFonts w:ascii="Calibri Light" w:hAnsi="Calibri Light" w:cs="Calibri Light"/>
          <w:b/>
          <w:i/>
        </w:rPr>
      </w:pPr>
      <w:r w:rsidRPr="00776634">
        <w:rPr>
          <w:rFonts w:ascii="Calibri Light" w:hAnsi="Calibri Light" w:cs="Calibri Light"/>
          <w:b/>
        </w:rPr>
        <w:t xml:space="preserve">Policy: </w:t>
      </w:r>
      <w:r w:rsidRPr="00776634">
        <w:rPr>
          <w:rFonts w:ascii="Calibri Light" w:hAnsi="Calibri Light" w:cs="Calibri Light"/>
          <w:i/>
        </w:rPr>
        <w:t>[Agency may want to include the following]</w:t>
      </w:r>
    </w:p>
    <w:p w:rsidR="00BC405B" w:rsidRPr="00776634" w:rsidRDefault="00BC405B" w:rsidP="00BC405B">
      <w:pPr>
        <w:numPr>
          <w:ilvl w:val="0"/>
          <w:numId w:val="21"/>
        </w:numPr>
        <w:spacing w:after="0" w:line="240" w:lineRule="auto"/>
        <w:rPr>
          <w:rFonts w:ascii="Calibri Light" w:hAnsi="Calibri Light" w:cs="Calibri Light"/>
          <w:color w:val="000000"/>
        </w:rPr>
      </w:pPr>
      <w:r w:rsidRPr="00776634">
        <w:rPr>
          <w:rFonts w:ascii="Calibri Light" w:hAnsi="Calibri Light" w:cs="Calibri Light"/>
        </w:rPr>
        <w:t>The grantee’s needs assessment will document the social service and medical needs of the community to be served.</w:t>
      </w:r>
    </w:p>
    <w:p w:rsidR="00BC405B" w:rsidRPr="00776634" w:rsidRDefault="00BC405B" w:rsidP="00BC405B">
      <w:pPr>
        <w:numPr>
          <w:ilvl w:val="0"/>
          <w:numId w:val="21"/>
        </w:numPr>
        <w:spacing w:after="0" w:line="240" w:lineRule="auto"/>
        <w:rPr>
          <w:rFonts w:ascii="Calibri Light" w:hAnsi="Calibri Light" w:cs="Calibri Light"/>
          <w:color w:val="000000"/>
        </w:rPr>
      </w:pPr>
      <w:r w:rsidRPr="00776634">
        <w:rPr>
          <w:rFonts w:ascii="Calibri Light" w:hAnsi="Calibri Light" w:cs="Calibri Light"/>
        </w:rPr>
        <w:t>The grantee’s needs assessment will document the ancillary services that are needed to facilitate clinic attendance, as well as identify relevant social and medical services available to help meet those needs.</w:t>
      </w:r>
    </w:p>
    <w:p w:rsidR="00BC405B" w:rsidRPr="00776634" w:rsidRDefault="00BC405B" w:rsidP="00BC405B">
      <w:pPr>
        <w:numPr>
          <w:ilvl w:val="0"/>
          <w:numId w:val="21"/>
        </w:numPr>
        <w:spacing w:after="0" w:line="240" w:lineRule="auto"/>
        <w:rPr>
          <w:rFonts w:ascii="Calibri Light" w:hAnsi="Calibri Light" w:cs="Calibri Light"/>
          <w:color w:val="000000"/>
        </w:rPr>
      </w:pPr>
      <w:r w:rsidRPr="00776634">
        <w:rPr>
          <w:rFonts w:ascii="Calibri Light" w:hAnsi="Calibri Light" w:cs="Calibri Light"/>
          <w:color w:val="000000"/>
        </w:rPr>
        <w:t>S</w:t>
      </w:r>
      <w:r w:rsidRPr="00776634">
        <w:rPr>
          <w:rFonts w:ascii="Calibri Light" w:hAnsi="Calibri Light" w:cs="Calibri Light"/>
        </w:rPr>
        <w:t>ubrecipients will develop and implement plans to address the related social service and medical needs of clients as well as ancillary services needed to facilitate clinic attendance.</w:t>
      </w:r>
    </w:p>
    <w:p w:rsidR="00BC405B" w:rsidRPr="00776634" w:rsidRDefault="00BC405B" w:rsidP="00BC405B">
      <w:pPr>
        <w:numPr>
          <w:ilvl w:val="0"/>
          <w:numId w:val="21"/>
        </w:numPr>
        <w:spacing w:after="0" w:line="240" w:lineRule="auto"/>
        <w:rPr>
          <w:rFonts w:ascii="Calibri Light" w:hAnsi="Calibri Light" w:cs="Calibri Light"/>
          <w:color w:val="000000"/>
        </w:rPr>
      </w:pPr>
      <w:r w:rsidRPr="00776634">
        <w:rPr>
          <w:rFonts w:ascii="Calibri Light" w:hAnsi="Calibri Light" w:cs="Calibri Light"/>
          <w:color w:val="000000"/>
        </w:rPr>
        <w:t xml:space="preserve">Subrecipients will have a process to refer clients </w:t>
      </w:r>
      <w:r w:rsidRPr="00776634">
        <w:rPr>
          <w:rFonts w:ascii="Calibri Light" w:hAnsi="Calibri Light" w:cs="Calibri Light"/>
        </w:rPr>
        <w:t xml:space="preserve">to relevant social and medical services agencies (e.g., child care agencies, transport providers, WIC programs). </w:t>
      </w:r>
    </w:p>
    <w:p w:rsidR="00BC405B" w:rsidRPr="00776634" w:rsidRDefault="00BC405B" w:rsidP="00BC405B">
      <w:pPr>
        <w:numPr>
          <w:ilvl w:val="0"/>
          <w:numId w:val="21"/>
        </w:numPr>
        <w:spacing w:after="0" w:line="240" w:lineRule="auto"/>
        <w:rPr>
          <w:rFonts w:ascii="Calibri Light" w:hAnsi="Calibri Light" w:cs="Calibri Light"/>
          <w:color w:val="000000"/>
        </w:rPr>
      </w:pPr>
      <w:r w:rsidRPr="00776634">
        <w:rPr>
          <w:rFonts w:ascii="Calibri Light" w:hAnsi="Calibri Light" w:cs="Calibri Light"/>
          <w:color w:val="000000"/>
        </w:rPr>
        <w:t>Service sites will get signed written collaborative agreements with these other agencies when possible and if appropriate.</w:t>
      </w:r>
    </w:p>
    <w:p w:rsidR="00BC405B" w:rsidRPr="00776634" w:rsidRDefault="00BC405B" w:rsidP="00BC405B">
      <w:pPr>
        <w:numPr>
          <w:ilvl w:val="0"/>
          <w:numId w:val="21"/>
        </w:numPr>
        <w:spacing w:after="0" w:line="240" w:lineRule="auto"/>
        <w:rPr>
          <w:rFonts w:ascii="Calibri Light" w:hAnsi="Calibri Light" w:cs="Calibri Light"/>
          <w:color w:val="000000"/>
        </w:rPr>
      </w:pPr>
      <w:r w:rsidRPr="00776634">
        <w:rPr>
          <w:rFonts w:ascii="Calibri Light" w:hAnsi="Calibri Light" w:cs="Calibri Light"/>
          <w:color w:val="000000"/>
        </w:rPr>
        <w:t xml:space="preserve">Staff and providers will document in the medical record when </w:t>
      </w:r>
      <w:r w:rsidRPr="00776634">
        <w:rPr>
          <w:rFonts w:ascii="Calibri Light" w:hAnsi="Calibri Light" w:cs="Calibri Light"/>
        </w:rPr>
        <w:t>referrals were made, based on documented specific condition/issue.</w:t>
      </w:r>
    </w:p>
    <w:p w:rsidR="00BC405B" w:rsidRDefault="00BC405B" w:rsidP="00BC405B">
      <w:pPr>
        <w:spacing w:after="0" w:line="240" w:lineRule="auto"/>
        <w:rPr>
          <w:rFonts w:ascii="Calibri Light" w:hAnsi="Calibri Light" w:cs="Calibri Light"/>
          <w:color w:val="000000"/>
        </w:rPr>
      </w:pPr>
    </w:p>
    <w:p w:rsidR="00BC405B" w:rsidRPr="00776634" w:rsidRDefault="00BC405B" w:rsidP="00BC405B">
      <w:pPr>
        <w:spacing w:after="0" w:line="240" w:lineRule="auto"/>
        <w:rPr>
          <w:rFonts w:ascii="Calibri Light" w:hAnsi="Calibri Light" w:cs="Calibri Light"/>
          <w:i/>
        </w:rPr>
      </w:pPr>
      <w:bookmarkStart w:id="1" w:name="_GoBack"/>
      <w:bookmarkEnd w:id="1"/>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p>
    <w:p w:rsidR="00BC405B" w:rsidRPr="00776634" w:rsidRDefault="00BC405B" w:rsidP="00BC405B">
      <w:pPr>
        <w:numPr>
          <w:ilvl w:val="0"/>
          <w:numId w:val="2"/>
        </w:numPr>
        <w:shd w:val="clear" w:color="auto" w:fill="FFFFFF"/>
        <w:spacing w:after="0" w:line="240" w:lineRule="auto"/>
        <w:rPr>
          <w:rFonts w:ascii="Calibri Light" w:hAnsi="Calibri Light" w:cs="Calibri Light"/>
        </w:rPr>
      </w:pPr>
      <w:r w:rsidRPr="00776634">
        <w:rPr>
          <w:rFonts w:ascii="Calibri Light" w:hAnsi="Calibri Light" w:cs="Calibri Light"/>
        </w:rPr>
        <w:t>Where staff will be able to locate up-to-date referral names and contact information.</w:t>
      </w:r>
    </w:p>
    <w:p w:rsidR="00BC405B" w:rsidRPr="00776634" w:rsidRDefault="00BC405B" w:rsidP="00BC405B">
      <w:pPr>
        <w:numPr>
          <w:ilvl w:val="0"/>
          <w:numId w:val="2"/>
        </w:numPr>
        <w:shd w:val="clear" w:color="auto" w:fill="FFFFFF"/>
        <w:spacing w:after="0" w:line="240" w:lineRule="auto"/>
        <w:rPr>
          <w:rFonts w:ascii="Calibri Light" w:hAnsi="Calibri Light" w:cs="Calibri Light"/>
        </w:rPr>
      </w:pPr>
      <w:r w:rsidRPr="00776634">
        <w:rPr>
          <w:rFonts w:ascii="Calibri Light" w:hAnsi="Calibri Light" w:cs="Calibri Light"/>
        </w:rPr>
        <w:lastRenderedPageBreak/>
        <w:t>Procedure for vetting referral resources.</w:t>
      </w:r>
    </w:p>
    <w:p w:rsidR="00BC405B" w:rsidRPr="00776634" w:rsidRDefault="00BC405B" w:rsidP="00BC405B">
      <w:pPr>
        <w:numPr>
          <w:ilvl w:val="0"/>
          <w:numId w:val="2"/>
        </w:numPr>
        <w:spacing w:after="0" w:line="240" w:lineRule="auto"/>
        <w:rPr>
          <w:rFonts w:ascii="Calibri Light" w:hAnsi="Calibri Light" w:cs="Calibri Light"/>
        </w:rPr>
      </w:pPr>
      <w:r w:rsidRPr="00776634">
        <w:rPr>
          <w:rFonts w:ascii="Calibri Light" w:hAnsi="Calibri Light" w:cs="Calibri Light"/>
        </w:rPr>
        <w:t>Schedule for updating referral information.</w:t>
      </w:r>
    </w:p>
    <w:p w:rsidR="00BC405B" w:rsidRPr="00776634" w:rsidRDefault="00BC405B" w:rsidP="00BC405B">
      <w:pPr>
        <w:numPr>
          <w:ilvl w:val="0"/>
          <w:numId w:val="2"/>
        </w:numPr>
        <w:spacing w:after="0" w:line="240" w:lineRule="auto"/>
        <w:rPr>
          <w:rFonts w:ascii="Calibri Light" w:hAnsi="Calibri Light" w:cs="Calibri Light"/>
        </w:rPr>
      </w:pPr>
      <w:r w:rsidRPr="00776634">
        <w:rPr>
          <w:rFonts w:ascii="Calibri Light" w:hAnsi="Calibri Light" w:cs="Calibri Light"/>
        </w:rPr>
        <w:t>Location of written collaborative agreements.</w:t>
      </w:r>
    </w:p>
    <w:p w:rsidR="00BC405B" w:rsidRPr="00776634" w:rsidRDefault="00BC405B" w:rsidP="00BC405B">
      <w:pPr>
        <w:numPr>
          <w:ilvl w:val="0"/>
          <w:numId w:val="2"/>
        </w:numPr>
        <w:spacing w:after="0" w:line="240" w:lineRule="auto"/>
        <w:rPr>
          <w:rFonts w:ascii="Calibri Light" w:hAnsi="Calibri Light" w:cs="Calibri Light"/>
        </w:rPr>
      </w:pPr>
      <w:r w:rsidRPr="00776634">
        <w:rPr>
          <w:rFonts w:ascii="Calibri Light" w:hAnsi="Calibri Light" w:cs="Calibri Light"/>
        </w:rPr>
        <w:t>Schedule for updating and renewing written collaborative agreements.</w:t>
      </w:r>
    </w:p>
    <w:p w:rsidR="00BC405B" w:rsidRPr="00776634" w:rsidRDefault="00BC405B" w:rsidP="00BC405B">
      <w:pPr>
        <w:numPr>
          <w:ilvl w:val="0"/>
          <w:numId w:val="2"/>
        </w:numPr>
        <w:spacing w:after="0" w:line="240" w:lineRule="auto"/>
        <w:rPr>
          <w:rFonts w:ascii="Calibri Light" w:eastAsia="Noto Sans Symbols" w:hAnsi="Calibri Light" w:cs="Calibri Light"/>
        </w:rPr>
      </w:pPr>
      <w:r w:rsidRPr="00776634">
        <w:rPr>
          <w:rFonts w:ascii="Calibri Light" w:hAnsi="Calibri Light" w:cs="Calibri Light"/>
        </w:rPr>
        <w:t>How staff will be trained and updated on changes to this policy.</w:t>
      </w:r>
    </w:p>
    <w:p w:rsidR="00BC05A0" w:rsidRPr="00BC405B" w:rsidRDefault="00BC405B" w:rsidP="00BC405B">
      <w:pPr>
        <w:numPr>
          <w:ilvl w:val="0"/>
          <w:numId w:val="2"/>
        </w:numPr>
        <w:spacing w:after="0" w:line="240" w:lineRule="auto"/>
        <w:rPr>
          <w:rFonts w:ascii="Calibri Light" w:eastAsia="Noto Sans Symbols" w:hAnsi="Calibri Light" w:cs="Calibri Light"/>
        </w:rPr>
      </w:pPr>
      <w:r w:rsidRPr="00776634">
        <w:rPr>
          <w:rFonts w:ascii="Calibri Light" w:hAnsi="Calibri Light" w:cs="Calibri Light"/>
        </w:rPr>
        <w:t>How staff can access this policy (location of paper/electronic version(s)).</w:t>
      </w:r>
    </w:p>
    <w:sectPr w:rsidR="00BC05A0" w:rsidRPr="00BC405B">
      <w:headerReference w:type="default" r:id="rId9"/>
      <w:footerReference w:type="default" r:id="rId10"/>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80" w:rsidRDefault="009E6280">
      <w:pPr>
        <w:spacing w:after="0" w:line="240" w:lineRule="auto"/>
      </w:pPr>
      <w:r>
        <w:separator/>
      </w:r>
    </w:p>
  </w:endnote>
  <w:endnote w:type="continuationSeparator" w:id="0">
    <w:p w:rsidR="009E6280" w:rsidRDefault="009E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45" w:rsidRDefault="00BC405B">
    <w:pPr>
      <w:jc w:val="right"/>
    </w:pPr>
    <w:r>
      <w:t>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80" w:rsidRDefault="009E6280">
      <w:pPr>
        <w:spacing w:after="0" w:line="240" w:lineRule="auto"/>
      </w:pPr>
      <w:r>
        <w:separator/>
      </w:r>
    </w:p>
  </w:footnote>
  <w:footnote w:type="continuationSeparator" w:id="0">
    <w:p w:rsidR="009E6280" w:rsidRDefault="009E6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45" w:rsidRPr="0041670C" w:rsidRDefault="00C35645" w:rsidP="00C35645">
    <w:pPr>
      <w:spacing w:after="160" w:line="240" w:lineRule="auto"/>
      <w:rPr>
        <w:rFonts w:ascii="Calibri Light" w:hAnsi="Calibri Light"/>
        <w:i/>
        <w:sz w:val="28"/>
        <w:szCs w:val="28"/>
      </w:rPr>
    </w:pPr>
    <w:r w:rsidRPr="0041670C">
      <w:rPr>
        <w:rFonts w:ascii="Calibri Light" w:hAnsi="Calibri Light"/>
        <w:i/>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20D"/>
    <w:multiLevelType w:val="multilevel"/>
    <w:tmpl w:val="AB2EA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E4075"/>
    <w:multiLevelType w:val="multilevel"/>
    <w:tmpl w:val="0016962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5577B5F"/>
    <w:multiLevelType w:val="multilevel"/>
    <w:tmpl w:val="5C8E3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B45868"/>
    <w:multiLevelType w:val="multilevel"/>
    <w:tmpl w:val="8B06DA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13444D78"/>
    <w:multiLevelType w:val="multilevel"/>
    <w:tmpl w:val="6FFEC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336A23"/>
    <w:multiLevelType w:val="multilevel"/>
    <w:tmpl w:val="1E02B92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9F57D4E"/>
    <w:multiLevelType w:val="multilevel"/>
    <w:tmpl w:val="F54648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0F87E49"/>
    <w:multiLevelType w:val="multilevel"/>
    <w:tmpl w:val="F54042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4297477"/>
    <w:multiLevelType w:val="multilevel"/>
    <w:tmpl w:val="81C017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4313434"/>
    <w:multiLevelType w:val="multilevel"/>
    <w:tmpl w:val="C6A411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D277D13"/>
    <w:multiLevelType w:val="multilevel"/>
    <w:tmpl w:val="2892E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4D2EB1"/>
    <w:multiLevelType w:val="hybridMultilevel"/>
    <w:tmpl w:val="DA50E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476F3B"/>
    <w:multiLevelType w:val="multilevel"/>
    <w:tmpl w:val="13D064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AB31D99"/>
    <w:multiLevelType w:val="multilevel"/>
    <w:tmpl w:val="56B4B8F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3AFD4C7A"/>
    <w:multiLevelType w:val="multilevel"/>
    <w:tmpl w:val="55C24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5AE637A"/>
    <w:multiLevelType w:val="multilevel"/>
    <w:tmpl w:val="1C428F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526EEF"/>
    <w:multiLevelType w:val="multilevel"/>
    <w:tmpl w:val="09D80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59661B"/>
    <w:multiLevelType w:val="multilevel"/>
    <w:tmpl w:val="EFBA3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202EBE"/>
    <w:multiLevelType w:val="multilevel"/>
    <w:tmpl w:val="F9362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3AA6297"/>
    <w:multiLevelType w:val="multilevel"/>
    <w:tmpl w:val="239A39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0E2F65"/>
    <w:multiLevelType w:val="multilevel"/>
    <w:tmpl w:val="C72EE2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7AD0851"/>
    <w:multiLevelType w:val="multilevel"/>
    <w:tmpl w:val="6A4C4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CC619FB"/>
    <w:multiLevelType w:val="multilevel"/>
    <w:tmpl w:val="BE24E75C"/>
    <w:lvl w:ilvl="0">
      <w:start w:val="1"/>
      <w:numFmt w:val="upperRoman"/>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16"/>
  </w:num>
  <w:num w:numId="3">
    <w:abstractNumId w:val="22"/>
  </w:num>
  <w:num w:numId="4">
    <w:abstractNumId w:val="7"/>
  </w:num>
  <w:num w:numId="5">
    <w:abstractNumId w:val="8"/>
  </w:num>
  <w:num w:numId="6">
    <w:abstractNumId w:val="9"/>
  </w:num>
  <w:num w:numId="7">
    <w:abstractNumId w:val="20"/>
  </w:num>
  <w:num w:numId="8">
    <w:abstractNumId w:val="18"/>
  </w:num>
  <w:num w:numId="9">
    <w:abstractNumId w:val="2"/>
  </w:num>
  <w:num w:numId="10">
    <w:abstractNumId w:val="1"/>
  </w:num>
  <w:num w:numId="11">
    <w:abstractNumId w:val="19"/>
  </w:num>
  <w:num w:numId="12">
    <w:abstractNumId w:val="12"/>
  </w:num>
  <w:num w:numId="13">
    <w:abstractNumId w:val="5"/>
  </w:num>
  <w:num w:numId="14">
    <w:abstractNumId w:val="10"/>
  </w:num>
  <w:num w:numId="15">
    <w:abstractNumId w:val="0"/>
  </w:num>
  <w:num w:numId="16">
    <w:abstractNumId w:val="15"/>
  </w:num>
  <w:num w:numId="17">
    <w:abstractNumId w:val="4"/>
  </w:num>
  <w:num w:numId="18">
    <w:abstractNumId w:val="21"/>
  </w:num>
  <w:num w:numId="19">
    <w:abstractNumId w:val="13"/>
  </w:num>
  <w:num w:numId="20">
    <w:abstractNumId w:val="3"/>
  </w:num>
  <w:num w:numId="21">
    <w:abstractNumId w:val="6"/>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A0"/>
    <w:rsid w:val="00063792"/>
    <w:rsid w:val="0041670C"/>
    <w:rsid w:val="00554C86"/>
    <w:rsid w:val="005619BD"/>
    <w:rsid w:val="00575473"/>
    <w:rsid w:val="00662DCE"/>
    <w:rsid w:val="006C2E24"/>
    <w:rsid w:val="006F4053"/>
    <w:rsid w:val="007D4404"/>
    <w:rsid w:val="009E6280"/>
    <w:rsid w:val="00A9277B"/>
    <w:rsid w:val="00BC05A0"/>
    <w:rsid w:val="00BC405B"/>
    <w:rsid w:val="00C06AB0"/>
    <w:rsid w:val="00C26DAD"/>
    <w:rsid w:val="00C35645"/>
    <w:rsid w:val="00C56F51"/>
    <w:rsid w:val="00E302B6"/>
    <w:rsid w:val="00E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5485B-4812-474A-88B5-CA5CEFFF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45"/>
    <w:rPr>
      <w:rFonts w:ascii="Segoe UI" w:hAnsi="Segoe UI" w:cs="Segoe UI"/>
      <w:sz w:val="18"/>
      <w:szCs w:val="18"/>
    </w:rPr>
  </w:style>
  <w:style w:type="paragraph" w:styleId="Header">
    <w:name w:val="header"/>
    <w:basedOn w:val="Normal"/>
    <w:link w:val="HeaderChar"/>
    <w:uiPriority w:val="99"/>
    <w:unhideWhenUsed/>
    <w:rsid w:val="00C3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45"/>
  </w:style>
  <w:style w:type="paragraph" w:styleId="Footer">
    <w:name w:val="footer"/>
    <w:basedOn w:val="Normal"/>
    <w:link w:val="FooterChar"/>
    <w:uiPriority w:val="99"/>
    <w:unhideWhenUsed/>
    <w:rsid w:val="00C3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45"/>
  </w:style>
  <w:style w:type="table" w:styleId="TableGrid">
    <w:name w:val="Table Grid"/>
    <w:basedOn w:val="TableNormal"/>
    <w:uiPriority w:val="39"/>
    <w:rsid w:val="0066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DCE"/>
    <w:pPr>
      <w:ind w:left="720"/>
      <w:contextualSpacing/>
    </w:pPr>
  </w:style>
  <w:style w:type="paragraph" w:styleId="CommentSubject">
    <w:name w:val="annotation subject"/>
    <w:basedOn w:val="CommentText"/>
    <w:next w:val="CommentText"/>
    <w:link w:val="CommentSubjectChar"/>
    <w:uiPriority w:val="99"/>
    <w:semiHidden/>
    <w:unhideWhenUsed/>
    <w:rsid w:val="00E302B6"/>
    <w:rPr>
      <w:b/>
      <w:bCs/>
    </w:rPr>
  </w:style>
  <w:style w:type="character" w:customStyle="1" w:styleId="CommentSubjectChar">
    <w:name w:val="Comment Subject Char"/>
    <w:basedOn w:val="CommentTextChar"/>
    <w:link w:val="CommentSubject"/>
    <w:uiPriority w:val="99"/>
    <w:semiHidden/>
    <w:rsid w:val="00E302B6"/>
    <w:rPr>
      <w:b/>
      <w:bCs/>
      <w:sz w:val="20"/>
      <w:szCs w:val="20"/>
    </w:rPr>
  </w:style>
  <w:style w:type="paragraph" w:styleId="BodyText">
    <w:name w:val="Body Text"/>
    <w:basedOn w:val="Normal"/>
    <w:link w:val="BodyTextChar"/>
    <w:uiPriority w:val="99"/>
    <w:rsid w:val="00C26DAD"/>
    <w:pPr>
      <w:suppressAutoHyphens/>
      <w:autoSpaceDE w:val="0"/>
      <w:autoSpaceDN w:val="0"/>
      <w:adjustRightInd w:val="0"/>
      <w:spacing w:before="80" w:after="80" w:line="320" w:lineRule="atLeast"/>
      <w:textAlignment w:val="center"/>
    </w:pPr>
    <w:rPr>
      <w:rFonts w:ascii="Myriad Pro" w:hAnsi="Myriad Pro" w:cs="Myriad Pro"/>
      <w:color w:val="000000"/>
      <w:sz w:val="24"/>
      <w:szCs w:val="24"/>
    </w:rPr>
  </w:style>
  <w:style w:type="character" w:customStyle="1" w:styleId="BodyTextChar">
    <w:name w:val="Body Text Char"/>
    <w:basedOn w:val="DefaultParagraphFont"/>
    <w:link w:val="BodyText"/>
    <w:uiPriority w:val="99"/>
    <w:rsid w:val="00C26DAD"/>
    <w:rPr>
      <w:rFonts w:ascii="Myriad Pro" w:hAnsi="Myriad Pro" w:cs="Myriad Pro"/>
      <w:color w:val="000000"/>
      <w:sz w:val="24"/>
      <w:szCs w:val="24"/>
    </w:rPr>
  </w:style>
  <w:style w:type="character" w:styleId="Hyperlink">
    <w:name w:val="Hyperlink"/>
    <w:basedOn w:val="DefaultParagraphFont"/>
    <w:uiPriority w:val="99"/>
    <w:rsid w:val="00C26DAD"/>
    <w:rPr>
      <w:color w:val="205D9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1cbd72e13f7230f1e8328fa52b57899&amp;mc=true&amp;node=sp42.1.59.a&amp;rgn=div6" TargetMode="External"/><Relationship Id="rId3" Type="http://schemas.openxmlformats.org/officeDocument/2006/relationships/settings" Target="settings.xml"/><Relationship Id="rId7" Type="http://schemas.openxmlformats.org/officeDocument/2006/relationships/hyperlink" Target="https://www.cdc.gov/mmwr/pdf/rr/rr63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Clancey Bateman</dc:creator>
  <cp:lastModifiedBy>Katie Quimby</cp:lastModifiedBy>
  <cp:revision>13</cp:revision>
  <cp:lastPrinted>2019-01-07T23:08:00Z</cp:lastPrinted>
  <dcterms:created xsi:type="dcterms:W3CDTF">2019-06-27T22:00:00Z</dcterms:created>
  <dcterms:modified xsi:type="dcterms:W3CDTF">2020-04-02T12:35:00Z</dcterms:modified>
</cp:coreProperties>
</file>